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E9B" w:rsidRDefault="00E90E9B" w:rsidP="00E90E9B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Информационная справка</w:t>
      </w:r>
    </w:p>
    <w:p w:rsidR="00E90E9B" w:rsidRDefault="00E90E9B" w:rsidP="00E90E9B">
      <w:pPr>
        <w:jc w:val="right"/>
        <w:rPr>
          <w:rFonts w:ascii="Times New Roman" w:hAnsi="Times New Roman" w:cs="Times New Roman"/>
          <w:b/>
        </w:rPr>
      </w:pPr>
    </w:p>
    <w:p w:rsidR="00E90E9B" w:rsidRDefault="00E90E9B" w:rsidP="00E90E9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Международное сотрудничество в области ядерного образования и подготовки кадров между Россией и Египтом</w:t>
      </w:r>
    </w:p>
    <w:p w:rsidR="00E90E9B" w:rsidRDefault="00E90E9B" w:rsidP="00E90E9B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90E9B" w:rsidRDefault="00E90E9B" w:rsidP="00E90E9B">
      <w:pPr>
        <w:pStyle w:val="a7"/>
        <w:numPr>
          <w:ilvl w:val="0"/>
          <w:numId w:val="1"/>
        </w:numPr>
        <w:spacing w:after="160" w:line="25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Египетские студенты в российских вузах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2015 года по 2024 год было выделено 192 квоты по линии Госкорпорации «Росатом».</w:t>
      </w:r>
      <w:r>
        <w:t xml:space="preserve"> </w:t>
      </w:r>
      <w:r>
        <w:rPr>
          <w:rFonts w:ascii="Times New Roman" w:hAnsi="Times New Roman" w:cs="Times New Roman"/>
        </w:rPr>
        <w:t>На 2025/2026 учебный год запланировано выделить 5 квот для обучения граждан Египта. Общее количество выпускников, начиная с 2018 г. – 102 чел., из них в 2024 г. – 7 чел.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Многие египетские граждане, окончившие российских вузы по атомным специальностям, подают документы для продолжения обучения на программах уровня магистратуры и аспирантуры; выпускникам магистратуры и аспирантуры удается трудоустроиться в национальных университетах, научно-исследовательских центрах и медицинских учреждениях. 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конец 2024 г. в российских вузах по ядерным и другим профильным для атомной отрасли специальностям по квотам по линии «Росатома» обучается 43 студента из Арабской Республики Египет. Студенты проходят обучение в следующих вузах: НИЯУ МИФИ, УРФУ, </w:t>
      </w:r>
      <w:proofErr w:type="spellStart"/>
      <w:r>
        <w:rPr>
          <w:rFonts w:ascii="Times New Roman" w:hAnsi="Times New Roman" w:cs="Times New Roman"/>
        </w:rPr>
        <w:t>СПбПУ</w:t>
      </w:r>
      <w:proofErr w:type="spellEnd"/>
      <w:r>
        <w:rPr>
          <w:rFonts w:ascii="Times New Roman" w:hAnsi="Times New Roman" w:cs="Times New Roman"/>
        </w:rPr>
        <w:t>, ТПУ, НГТУ им. Алексеева, МГТУ им. Н.Э. Баумана, МФТИ, Казанский национальный исследовательский технологический университет, Алтайский государственный технический университет им. И.И. Ползунова, НИУ МЭИ.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Уже сегодня в энергетической сфере, в том числе в Управлении по атомным электростанциям Египта (NPPA), в организациях – подрядчиках и филиале АСЭ в Египте трудоустроены порядка 10 выпускников российских вузов.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</w:p>
    <w:p w:rsidR="00E90E9B" w:rsidRDefault="00E90E9B" w:rsidP="00E90E9B">
      <w:pPr>
        <w:pStyle w:val="a7"/>
        <w:numPr>
          <w:ilvl w:val="0"/>
          <w:numId w:val="1"/>
        </w:numPr>
        <w:spacing w:after="160" w:line="25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Cs/>
        </w:rPr>
        <w:t>Межуниверситетское сотрудничество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В 2018/2019 учебном году для ядерной инфраструктуры Египта НИЯУ «МИФИ» </w:t>
      </w:r>
      <w:r>
        <w:rPr>
          <w:rFonts w:ascii="Times New Roman" w:hAnsi="Times New Roman" w:cs="Times New Roman"/>
        </w:rPr>
        <w:br/>
        <w:t xml:space="preserve"> и национальными египетскими университетами разработаны и запущены </w:t>
      </w:r>
      <w:r>
        <w:rPr>
          <w:rFonts w:ascii="Times New Roman" w:hAnsi="Times New Roman" w:cs="Times New Roman"/>
        </w:rPr>
        <w:br/>
        <w:t> 2 программы совместной подготовки бакалавров, в том числе: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Программа совместной подготовки бакалавров «</w:t>
      </w:r>
      <w:proofErr w:type="spellStart"/>
      <w:r>
        <w:rPr>
          <w:rFonts w:ascii="Times New Roman" w:hAnsi="Times New Roman" w:cs="Times New Roman"/>
        </w:rPr>
        <w:t>Nuclear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Power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Engineering</w:t>
      </w:r>
      <w:proofErr w:type="spellEnd"/>
      <w:r>
        <w:rPr>
          <w:rFonts w:ascii="Times New Roman" w:hAnsi="Times New Roman" w:cs="Times New Roman"/>
        </w:rPr>
        <w:t>» с Египетско-российским университетом, г. </w:t>
      </w:r>
      <w:proofErr w:type="spellStart"/>
      <w:r>
        <w:rPr>
          <w:rFonts w:ascii="Times New Roman" w:hAnsi="Times New Roman" w:cs="Times New Roman"/>
        </w:rPr>
        <w:t>Бадр</w:t>
      </w:r>
      <w:proofErr w:type="spellEnd"/>
      <w:r>
        <w:rPr>
          <w:rFonts w:ascii="Times New Roman" w:hAnsi="Times New Roman" w:cs="Times New Roman"/>
        </w:rPr>
        <w:t>. Всего прошло обучение 80 египетских студентов.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Программа совместной подготовки бакалавров «</w:t>
      </w:r>
      <w:proofErr w:type="spellStart"/>
      <w:r>
        <w:rPr>
          <w:rFonts w:ascii="Times New Roman" w:hAnsi="Times New Roman" w:cs="Times New Roman"/>
        </w:rPr>
        <w:t>Mechanical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Power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Engineering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Nuclear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Energy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theme</w:t>
      </w:r>
      <w:proofErr w:type="spellEnd"/>
      <w:r>
        <w:rPr>
          <w:rFonts w:ascii="Times New Roman" w:hAnsi="Times New Roman" w:cs="Times New Roman"/>
        </w:rPr>
        <w:t>)» с Университетом Айн-</w:t>
      </w:r>
      <w:proofErr w:type="spellStart"/>
      <w:r>
        <w:rPr>
          <w:rFonts w:ascii="Times New Roman" w:hAnsi="Times New Roman" w:cs="Times New Roman"/>
        </w:rPr>
        <w:t>Шамс</w:t>
      </w:r>
      <w:proofErr w:type="spellEnd"/>
      <w:r>
        <w:rPr>
          <w:rFonts w:ascii="Times New Roman" w:hAnsi="Times New Roman" w:cs="Times New Roman"/>
        </w:rPr>
        <w:t>, г. Каир. Всего прошло обучение 134 египетских студента.  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</w:p>
    <w:p w:rsidR="00E90E9B" w:rsidRDefault="00E90E9B" w:rsidP="00E90E9B">
      <w:pPr>
        <w:pStyle w:val="a7"/>
        <w:numPr>
          <w:ilvl w:val="0"/>
          <w:numId w:val="1"/>
        </w:numPr>
        <w:spacing w:after="160" w:line="25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Международное сотрудничество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сентября 2022 г. министр высшего образования и научных исследований Арабской Республики Египет г-н Мухаммад </w:t>
      </w:r>
      <w:proofErr w:type="spellStart"/>
      <w:r>
        <w:rPr>
          <w:rFonts w:ascii="Times New Roman" w:hAnsi="Times New Roman" w:cs="Times New Roman"/>
        </w:rPr>
        <w:t>Айман</w:t>
      </w:r>
      <w:proofErr w:type="spellEnd"/>
      <w:r>
        <w:rPr>
          <w:rFonts w:ascii="Times New Roman" w:hAnsi="Times New Roman" w:cs="Times New Roman"/>
        </w:rPr>
        <w:t xml:space="preserve"> Ашур направил в адрес министра науки и высшего образования Российской Федерации В.Н. </w:t>
      </w:r>
      <w:proofErr w:type="spellStart"/>
      <w:r>
        <w:rPr>
          <w:rFonts w:ascii="Times New Roman" w:hAnsi="Times New Roman" w:cs="Times New Roman"/>
        </w:rPr>
        <w:t>Фалькова</w:t>
      </w:r>
      <w:proofErr w:type="spellEnd"/>
      <w:r>
        <w:rPr>
          <w:rFonts w:ascii="Times New Roman" w:hAnsi="Times New Roman" w:cs="Times New Roman"/>
        </w:rPr>
        <w:t xml:space="preserve"> предложение о развитии двустороннего научно-образовательного сотрудничества в области атомной энергетики, предусматривающее реализацию проекта создания филиалов российских вузов на базе Технологического университета Борг Аль-Араб в г. Александрии. 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На текущий момент прорабатывается возможность открытия филиалов двух российских вузов (НИЯУ МИФИ и </w:t>
      </w:r>
      <w:proofErr w:type="spellStart"/>
      <w:r>
        <w:rPr>
          <w:rFonts w:ascii="Times New Roman" w:hAnsi="Times New Roman" w:cs="Times New Roman"/>
        </w:rPr>
        <w:t>СПбГЭТУ</w:t>
      </w:r>
      <w:proofErr w:type="spellEnd"/>
      <w:r>
        <w:rPr>
          <w:rFonts w:ascii="Times New Roman" w:hAnsi="Times New Roman" w:cs="Times New Roman"/>
        </w:rPr>
        <w:t xml:space="preserve"> «ЛЭТИ»), в том числе с целью подготовки кадров для АЭС «Эль-</w:t>
      </w:r>
      <w:proofErr w:type="spellStart"/>
      <w:r>
        <w:rPr>
          <w:rFonts w:ascii="Times New Roman" w:hAnsi="Times New Roman" w:cs="Times New Roman"/>
        </w:rPr>
        <w:t>Дабаа</w:t>
      </w:r>
      <w:proofErr w:type="spellEnd"/>
      <w:r>
        <w:rPr>
          <w:rFonts w:ascii="Times New Roman" w:hAnsi="Times New Roman" w:cs="Times New Roman"/>
        </w:rPr>
        <w:t xml:space="preserve">». 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 июня 2024 состоялась встреча заместителя генерального директора по персоналу Т. А. Терентьевой с министром высшего образования и научных исследований Египта </w:t>
      </w:r>
      <w:proofErr w:type="spellStart"/>
      <w:r>
        <w:rPr>
          <w:rFonts w:ascii="Times New Roman" w:hAnsi="Times New Roman" w:cs="Times New Roman"/>
        </w:rPr>
        <w:t>Мохаммадом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Айманом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Ашуром</w:t>
      </w:r>
      <w:proofErr w:type="spellEnd"/>
      <w:r>
        <w:rPr>
          <w:rFonts w:ascii="Times New Roman" w:hAnsi="Times New Roman" w:cs="Times New Roman"/>
        </w:rPr>
        <w:t xml:space="preserve"> по вопросам развития сотрудничества в области образования, в том числе обсуждалась необходимость создания совместной рабочей группы по вопросу открытия филиалов российских вузов на базе Технологического университета Борг Аль-Араб  (г. Александрия). 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то же время, 4 июля 2023 г. в Каире была открыта образовательная организация (филиал) «Санкт-Петербургский государственный университет в Каире» совместно с египетской группой компаний «</w:t>
      </w:r>
      <w:proofErr w:type="spellStart"/>
      <w:r>
        <w:rPr>
          <w:rFonts w:ascii="Times New Roman" w:hAnsi="Times New Roman" w:cs="Times New Roman"/>
        </w:rPr>
        <w:t>Modern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Group</w:t>
      </w:r>
      <w:proofErr w:type="spellEnd"/>
      <w:r>
        <w:rPr>
          <w:rFonts w:ascii="Times New Roman" w:hAnsi="Times New Roman" w:cs="Times New Roman"/>
        </w:rPr>
        <w:t>» в соответствии с Федеральным законом «О Московском государственном университете имени М.В. Ломоносова и Санкт-Петербургском государственном университете». В Университете в настоящее время в полном соответствии с образовательными стандартами реализуются такие образовательные программы СПбГУ, как «Лечебное дело», «Фармация», «Стоматология».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90E9B" w:rsidRDefault="00E90E9B" w:rsidP="00E90E9B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  <w:b/>
          <w:bCs/>
          <w:iCs/>
        </w:rPr>
        <w:t>Обучение специалистов</w:t>
      </w:r>
      <w:r>
        <w:rPr>
          <w:rFonts w:ascii="Times New Roman" w:hAnsi="Times New Roman" w:cs="Times New Roman"/>
          <w:b/>
        </w:rPr>
        <w:t> 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целью подготовки персонала для эксплуатации АЭС «Эль-</w:t>
      </w:r>
      <w:proofErr w:type="spellStart"/>
      <w:r>
        <w:rPr>
          <w:rFonts w:ascii="Times New Roman" w:hAnsi="Times New Roman" w:cs="Times New Roman"/>
        </w:rPr>
        <w:t>Дабаа</w:t>
      </w:r>
      <w:proofErr w:type="spellEnd"/>
      <w:r>
        <w:rPr>
          <w:rFonts w:ascii="Times New Roman" w:hAnsi="Times New Roman" w:cs="Times New Roman"/>
        </w:rPr>
        <w:t xml:space="preserve">» с 2021 г. проходит обучение египетских экспертов на базе Технической Академии Росатома. По состоянию на декабрь 2024 г. подготовку на должность проходили 173 слушателя, </w:t>
      </w:r>
      <w:r>
        <w:rPr>
          <w:rFonts w:ascii="Times New Roman" w:hAnsi="Times New Roman" w:cs="Times New Roman"/>
          <w:b/>
          <w:bCs/>
        </w:rPr>
        <w:t>94 уже закончили обучение в РФ.</w:t>
      </w:r>
      <w:r>
        <w:rPr>
          <w:rFonts w:ascii="Times New Roman" w:hAnsi="Times New Roman" w:cs="Times New Roman"/>
        </w:rPr>
        <w:t xml:space="preserve"> Всего в период с 2010 по 2023 гг. в рамках программ дополнительного профессионального образования прошли обучение 246 участников из Египта.  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E90E9B" w:rsidRDefault="00E90E9B" w:rsidP="00E90E9B">
      <w:pPr>
        <w:jc w:val="both"/>
        <w:rPr>
          <w:rFonts w:ascii="Times New Roman" w:hAnsi="Times New Roman" w:cs="Times New Roman"/>
        </w:rPr>
      </w:pPr>
    </w:p>
    <w:p w:rsidR="006444B1" w:rsidRPr="006444B1" w:rsidRDefault="006444B1"/>
    <w:sectPr w:rsidR="006444B1" w:rsidRPr="006444B1" w:rsidSect="006444B1">
      <w:headerReference w:type="default" r:id="rId7"/>
      <w:pgSz w:w="11906" w:h="16838"/>
      <w:pgMar w:top="29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38B" w:rsidRDefault="00C4638B" w:rsidP="006906AD">
      <w:r>
        <w:separator/>
      </w:r>
    </w:p>
  </w:endnote>
  <w:endnote w:type="continuationSeparator" w:id="0">
    <w:p w:rsidR="00C4638B" w:rsidRDefault="00C4638B" w:rsidP="0069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38B" w:rsidRDefault="00C4638B" w:rsidP="006906AD">
      <w:r>
        <w:separator/>
      </w:r>
    </w:p>
  </w:footnote>
  <w:footnote w:type="continuationSeparator" w:id="0">
    <w:p w:rsidR="00C4638B" w:rsidRDefault="00C4638B" w:rsidP="0069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AD" w:rsidRDefault="006444B1" w:rsidP="006906AD">
    <w:pPr>
      <w:pStyle w:val="ac"/>
      <w:tabs>
        <w:tab w:val="clear" w:pos="4677"/>
        <w:tab w:val="clear" w:pos="9355"/>
        <w:tab w:val="left" w:pos="7374"/>
      </w:tabs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5168138</wp:posOffset>
          </wp:positionH>
          <wp:positionV relativeFrom="paragraph">
            <wp:posOffset>42545</wp:posOffset>
          </wp:positionV>
          <wp:extent cx="1104900" cy="780415"/>
          <wp:effectExtent l="0" t="0" r="0" b="0"/>
          <wp:wrapNone/>
          <wp:docPr id="2081930263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930263" name="Рисунок 2081930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1834388</wp:posOffset>
          </wp:positionH>
          <wp:positionV relativeFrom="paragraph">
            <wp:posOffset>-298450</wp:posOffset>
          </wp:positionV>
          <wp:extent cx="1727835" cy="1687195"/>
          <wp:effectExtent l="0" t="0" r="0" b="1905"/>
          <wp:wrapNone/>
          <wp:docPr id="102242296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422964" name="Рисунок 102242296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168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6AD">
      <w:rPr>
        <w:noProof/>
      </w:rPr>
      <w:drawing>
        <wp:anchor distT="0" distB="0" distL="114300" distR="114300" simplePos="0" relativeHeight="251660288" behindDoc="1" locked="0" layoutInCell="1" allowOverlap="1" wp14:anchorId="32FE0F4B">
          <wp:simplePos x="0" y="0"/>
          <wp:positionH relativeFrom="page">
            <wp:posOffset>1260475</wp:posOffset>
          </wp:positionH>
          <wp:positionV relativeFrom="paragraph">
            <wp:posOffset>-35732</wp:posOffset>
          </wp:positionV>
          <wp:extent cx="1003935" cy="989965"/>
          <wp:effectExtent l="0" t="0" r="0" b="0"/>
          <wp:wrapNone/>
          <wp:docPr id="191038002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38002" name="Рисунок 19103800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9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6AD">
      <w:t xml:space="preserve">                                        </w:t>
    </w:r>
    <w:r w:rsidR="006906A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E282F"/>
    <w:multiLevelType w:val="hybridMultilevel"/>
    <w:tmpl w:val="9EE646B8"/>
    <w:lvl w:ilvl="0" w:tplc="79ECD59A">
      <w:start w:val="1"/>
      <w:numFmt w:val="decimal"/>
      <w:lvlText w:val="%1."/>
      <w:lvlJc w:val="left"/>
      <w:pPr>
        <w:ind w:left="720" w:hanging="360"/>
      </w:pPr>
    </w:lvl>
    <w:lvl w:ilvl="1" w:tplc="2230124C">
      <w:start w:val="1"/>
      <w:numFmt w:val="lowerLetter"/>
      <w:lvlText w:val="%2."/>
      <w:lvlJc w:val="left"/>
      <w:pPr>
        <w:ind w:left="1440" w:hanging="360"/>
      </w:pPr>
    </w:lvl>
    <w:lvl w:ilvl="2" w:tplc="5CACC602">
      <w:start w:val="1"/>
      <w:numFmt w:val="lowerRoman"/>
      <w:lvlText w:val="%3."/>
      <w:lvlJc w:val="right"/>
      <w:pPr>
        <w:ind w:left="2160" w:hanging="180"/>
      </w:pPr>
    </w:lvl>
    <w:lvl w:ilvl="3" w:tplc="DC900228">
      <w:start w:val="1"/>
      <w:numFmt w:val="decimal"/>
      <w:lvlText w:val="%4."/>
      <w:lvlJc w:val="left"/>
      <w:pPr>
        <w:ind w:left="2880" w:hanging="360"/>
      </w:pPr>
    </w:lvl>
    <w:lvl w:ilvl="4" w:tplc="064E3F18">
      <w:start w:val="1"/>
      <w:numFmt w:val="lowerLetter"/>
      <w:lvlText w:val="%5."/>
      <w:lvlJc w:val="left"/>
      <w:pPr>
        <w:ind w:left="3600" w:hanging="360"/>
      </w:pPr>
    </w:lvl>
    <w:lvl w:ilvl="5" w:tplc="CF8A71BC">
      <w:start w:val="1"/>
      <w:numFmt w:val="lowerRoman"/>
      <w:lvlText w:val="%6."/>
      <w:lvlJc w:val="right"/>
      <w:pPr>
        <w:ind w:left="4320" w:hanging="180"/>
      </w:pPr>
    </w:lvl>
    <w:lvl w:ilvl="6" w:tplc="D7FC92B0">
      <w:start w:val="1"/>
      <w:numFmt w:val="decimal"/>
      <w:lvlText w:val="%7."/>
      <w:lvlJc w:val="left"/>
      <w:pPr>
        <w:ind w:left="5040" w:hanging="360"/>
      </w:pPr>
    </w:lvl>
    <w:lvl w:ilvl="7" w:tplc="ECFE80EA">
      <w:start w:val="1"/>
      <w:numFmt w:val="lowerLetter"/>
      <w:lvlText w:val="%8."/>
      <w:lvlJc w:val="left"/>
      <w:pPr>
        <w:ind w:left="5760" w:hanging="360"/>
      </w:pPr>
    </w:lvl>
    <w:lvl w:ilvl="8" w:tplc="374CBC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AD"/>
    <w:rsid w:val="004B6CA1"/>
    <w:rsid w:val="004C3D75"/>
    <w:rsid w:val="00635DC9"/>
    <w:rsid w:val="006444B1"/>
    <w:rsid w:val="006906AD"/>
    <w:rsid w:val="0087676C"/>
    <w:rsid w:val="008F1FCC"/>
    <w:rsid w:val="00B32902"/>
    <w:rsid w:val="00B857DF"/>
    <w:rsid w:val="00C4638B"/>
    <w:rsid w:val="00E90E9B"/>
    <w:rsid w:val="00F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1908C"/>
  <w15:chartTrackingRefBased/>
  <w15:docId w15:val="{18E315F6-4776-A74B-B612-605959D6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0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6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6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6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6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6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6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6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0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06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06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06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06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06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06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06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06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0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6A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0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06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06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06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06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06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06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06A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906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906AD"/>
  </w:style>
  <w:style w:type="paragraph" w:styleId="ae">
    <w:name w:val="footer"/>
    <w:basedOn w:val="a"/>
    <w:link w:val="af"/>
    <w:uiPriority w:val="99"/>
    <w:unhideWhenUsed/>
    <w:rsid w:val="006906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90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5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VDI</cp:lastModifiedBy>
  <cp:revision>2</cp:revision>
  <dcterms:created xsi:type="dcterms:W3CDTF">2025-02-25T15:07:00Z</dcterms:created>
  <dcterms:modified xsi:type="dcterms:W3CDTF">2025-02-25T15:07:00Z</dcterms:modified>
</cp:coreProperties>
</file>